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C57E" w14:textId="552E1B82" w:rsidR="002245D7" w:rsidRDefault="00930B2E" w:rsidP="00930B2E">
      <w:pPr>
        <w:rPr>
          <w:rFonts w:hint="eastAsia"/>
          <w:b/>
          <w:bCs/>
        </w:rPr>
      </w:pPr>
      <w:r w:rsidRPr="00930B2E">
        <w:rPr>
          <w:b/>
          <w:bCs/>
        </w:rPr>
        <w:t>報道</w:t>
      </w:r>
      <w:r>
        <w:rPr>
          <w:rFonts w:hint="eastAsia"/>
          <w:b/>
          <w:bCs/>
        </w:rPr>
        <w:t xml:space="preserve">参考資料　</w:t>
      </w:r>
    </w:p>
    <w:p w14:paraId="17EB11A2" w14:textId="61A36B29" w:rsidR="002245D7" w:rsidRPr="002245D7" w:rsidRDefault="00930B2E" w:rsidP="002245D7">
      <w:pPr>
        <w:jc w:val="center"/>
        <w:rPr>
          <w:b/>
          <w:bCs/>
        </w:rPr>
      </w:pPr>
      <w:r w:rsidRPr="00930B2E">
        <w:rPr>
          <w:b/>
          <w:bCs/>
        </w:rPr>
        <w:t>外国人政策及び「移民問題」に関する政策提言</w:t>
      </w:r>
      <w:r>
        <w:rPr>
          <w:rFonts w:hint="eastAsia"/>
          <w:b/>
          <w:bCs/>
        </w:rPr>
        <w:t>に</w:t>
      </w:r>
      <w:r w:rsidR="00EC2438">
        <w:rPr>
          <w:rFonts w:hint="eastAsia"/>
          <w:b/>
          <w:bCs/>
        </w:rPr>
        <w:t>ついて（骨子）</w:t>
      </w:r>
    </w:p>
    <w:p w14:paraId="7D0D5F82" w14:textId="565D248A" w:rsidR="00EC2438" w:rsidRPr="002245D7" w:rsidRDefault="00EC2438" w:rsidP="00930B2E">
      <w:pPr>
        <w:jc w:val="center"/>
        <w:rPr>
          <w:rFonts w:hint="eastAsia"/>
          <w:b/>
          <w:bCs/>
        </w:rPr>
      </w:pPr>
    </w:p>
    <w:p w14:paraId="344E3FD1" w14:textId="30D8CFB8" w:rsidR="00930B2E" w:rsidRDefault="00930B2E" w:rsidP="002245D7">
      <w:pPr>
        <w:jc w:val="right"/>
      </w:pPr>
      <w:r w:rsidRPr="00930B2E">
        <w:t>日本維新の会 外国人政策と人口戦略調査会</w:t>
      </w:r>
    </w:p>
    <w:p w14:paraId="31BDB38B" w14:textId="02356B2C" w:rsidR="002245D7" w:rsidRPr="002245D7" w:rsidRDefault="002245D7" w:rsidP="002245D7">
      <w:pPr>
        <w:jc w:val="right"/>
        <w:rPr>
          <w:rFonts w:hint="eastAsia"/>
        </w:rPr>
      </w:pPr>
      <w:r w:rsidRPr="002245D7">
        <w:t>2025/9/17</w:t>
      </w:r>
    </w:p>
    <w:p w14:paraId="109C9A07" w14:textId="16F0F0B0" w:rsidR="00930B2E" w:rsidRPr="00930B2E" w:rsidRDefault="00930B2E" w:rsidP="00930B2E">
      <w:pPr>
        <w:rPr>
          <w:b/>
          <w:bCs/>
        </w:rPr>
      </w:pPr>
      <w:r w:rsidRPr="00930B2E">
        <w:rPr>
          <w:b/>
          <w:bCs/>
        </w:rPr>
        <w:t>【本提言の位置づけ】</w:t>
      </w:r>
    </w:p>
    <w:p w14:paraId="24580E03" w14:textId="77777777" w:rsidR="00930B2E" w:rsidRDefault="00930B2E" w:rsidP="00930B2E">
      <w:pPr>
        <w:pStyle w:val="a9"/>
        <w:numPr>
          <w:ilvl w:val="0"/>
          <w:numId w:val="7"/>
        </w:numPr>
      </w:pPr>
      <w:r w:rsidRPr="00930B2E">
        <w:t>年間30万人規模で進む外国人受入れに「国家戦略なき移民政策」と真正面から向き合う抜本改革案。</w:t>
      </w:r>
    </w:p>
    <w:p w14:paraId="67419FFF" w14:textId="5C28F9B8" w:rsidR="00930B2E" w:rsidRPr="00C137E1" w:rsidRDefault="00C137E1" w:rsidP="00930B2E">
      <w:pPr>
        <w:pStyle w:val="a9"/>
        <w:numPr>
          <w:ilvl w:val="0"/>
          <w:numId w:val="7"/>
        </w:numPr>
        <w:rPr>
          <w:rFonts w:hint="eastAsia"/>
        </w:rPr>
      </w:pPr>
      <w:r w:rsidRPr="00DB08F4">
        <w:rPr>
          <w:rFonts w:hAnsiTheme="minorHAnsi" w:hint="eastAsia"/>
          <w:szCs w:val="21"/>
        </w:rPr>
        <w:t>外国人比率の上昇抑制や総量規制</w:t>
      </w:r>
      <w:r>
        <w:rPr>
          <w:rFonts w:hAnsiTheme="minorHAnsi" w:hint="eastAsia"/>
          <w:szCs w:val="21"/>
        </w:rPr>
        <w:t>を前提とした</w:t>
      </w:r>
      <w:r>
        <w:t>包括的な人口戦略</w:t>
      </w:r>
      <w:r>
        <w:rPr>
          <w:rFonts w:hint="eastAsia"/>
        </w:rPr>
        <w:t>と、</w:t>
      </w:r>
      <w:r w:rsidR="00930B2E" w:rsidRPr="00930B2E">
        <w:rPr>
          <w:rFonts w:hint="eastAsia"/>
        </w:rPr>
        <w:t>排</w:t>
      </w:r>
      <w:r w:rsidR="00930B2E" w:rsidRPr="00930B2E">
        <w:t>外主義でも無秩序な受入れでもな</w:t>
      </w:r>
      <w:r>
        <w:rPr>
          <w:rFonts w:hint="eastAsia"/>
        </w:rPr>
        <w:t>い</w:t>
      </w:r>
      <w:r w:rsidR="00930B2E" w:rsidRPr="00930B2E">
        <w:t>「戦略的外国人受入れ」を提示。</w:t>
      </w:r>
    </w:p>
    <w:p w14:paraId="419C0860" w14:textId="130FFBF5" w:rsidR="00930B2E" w:rsidRPr="00930B2E" w:rsidRDefault="00930B2E" w:rsidP="00930B2E">
      <w:pPr>
        <w:rPr>
          <w:b/>
          <w:bCs/>
        </w:rPr>
      </w:pPr>
      <w:r w:rsidRPr="00930B2E">
        <w:rPr>
          <w:b/>
          <w:bCs/>
        </w:rPr>
        <w:t>【策定の背景】</w:t>
      </w:r>
    </w:p>
    <w:p w14:paraId="361E978D" w14:textId="38FBF6CE" w:rsidR="00930B2E" w:rsidRDefault="00660E30" w:rsidP="00930B2E">
      <w:pPr>
        <w:pStyle w:val="a9"/>
        <w:numPr>
          <w:ilvl w:val="0"/>
          <w:numId w:val="7"/>
        </w:numPr>
      </w:pPr>
      <w:r w:rsidRPr="00660E30">
        <w:t>現在のペースでは2040年代に外国人比率10%超の可能性</w:t>
      </w:r>
      <w:r w:rsidR="00930B2E" w:rsidRPr="00930B2E">
        <w:t>。欧州では10%超で社会問題が顕在化。</w:t>
      </w:r>
    </w:p>
    <w:p w14:paraId="5E0C25B8" w14:textId="77777777" w:rsidR="00930B2E" w:rsidRDefault="00930B2E" w:rsidP="00930B2E">
      <w:pPr>
        <w:pStyle w:val="a9"/>
        <w:numPr>
          <w:ilvl w:val="0"/>
          <w:numId w:val="7"/>
        </w:numPr>
      </w:pPr>
      <w:r w:rsidRPr="00930B2E">
        <w:t>不法滞在、社会保険料未納、制度悪用など既に深刻な問題が発生。</w:t>
      </w:r>
    </w:p>
    <w:p w14:paraId="6AD93B42" w14:textId="5998AFB4" w:rsidR="00C137E1" w:rsidRDefault="00930B2E" w:rsidP="002245D7">
      <w:pPr>
        <w:pStyle w:val="a9"/>
        <w:numPr>
          <w:ilvl w:val="0"/>
          <w:numId w:val="7"/>
        </w:numPr>
      </w:pPr>
      <w:r w:rsidRPr="00930B2E">
        <w:t>政府の「移民政策ではない」という欺瞞をただし、国民的議論を喚起する必要。</w:t>
      </w:r>
    </w:p>
    <w:p w14:paraId="060D6A6F" w14:textId="77777777" w:rsidR="002245D7" w:rsidRPr="00C137E1" w:rsidRDefault="002245D7" w:rsidP="002245D7">
      <w:pPr>
        <w:rPr>
          <w:rFonts w:hint="eastAsia"/>
        </w:rPr>
      </w:pPr>
    </w:p>
    <w:p w14:paraId="3A5C35E0" w14:textId="77777777" w:rsidR="00A36FC2" w:rsidRPr="00A36FC2" w:rsidRDefault="00A36FC2" w:rsidP="00A36FC2">
      <w:pPr>
        <w:rPr>
          <w:b/>
          <w:bCs/>
        </w:rPr>
      </w:pPr>
      <w:r w:rsidRPr="00A36FC2">
        <w:rPr>
          <w:b/>
          <w:bCs/>
        </w:rPr>
        <w:t>【三本柱と主な改革策】</w:t>
      </w:r>
    </w:p>
    <w:p w14:paraId="7E8BA2D8" w14:textId="42C23DC6" w:rsidR="00A36FC2" w:rsidRPr="00A36FC2" w:rsidRDefault="00A36FC2" w:rsidP="00A36FC2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①　</w:t>
      </w:r>
      <w:r w:rsidR="00C137E1" w:rsidRPr="00A36FC2">
        <w:rPr>
          <w:b/>
          <w:bCs/>
        </w:rPr>
        <w:t>国家戦略の確立</w:t>
      </w:r>
      <w:r w:rsidR="00C137E1">
        <w:rPr>
          <w:rFonts w:hint="eastAsia"/>
          <w:b/>
          <w:bCs/>
        </w:rPr>
        <w:t xml:space="preserve">　―</w:t>
      </w:r>
      <w:r w:rsidRPr="00A36FC2">
        <w:rPr>
          <w:b/>
          <w:bCs/>
        </w:rPr>
        <w:t>マクロの制度設計</w:t>
      </w:r>
      <w:r w:rsidR="00C137E1">
        <w:rPr>
          <w:rFonts w:hint="eastAsia"/>
          <w:b/>
          <w:bCs/>
        </w:rPr>
        <w:t>―</w:t>
      </w:r>
    </w:p>
    <w:p w14:paraId="64C58CE4" w14:textId="1DCF1ED3" w:rsidR="00660E30" w:rsidRDefault="00C137E1" w:rsidP="00DD5418">
      <w:pPr>
        <w:pStyle w:val="a9"/>
        <w:numPr>
          <w:ilvl w:val="0"/>
          <w:numId w:val="7"/>
        </w:numPr>
      </w:pPr>
      <w:r w:rsidRPr="009D617E">
        <w:rPr>
          <w:rFonts w:hint="eastAsia"/>
          <w:szCs w:val="24"/>
        </w:rPr>
        <w:t>外国人比率を含む人口戦略の立案</w:t>
      </w:r>
    </w:p>
    <w:p w14:paraId="248C4A82" w14:textId="55240A15" w:rsidR="00660E30" w:rsidRDefault="00660E30" w:rsidP="00660E30">
      <w:pPr>
        <w:pStyle w:val="a9"/>
        <w:numPr>
          <w:ilvl w:val="0"/>
          <w:numId w:val="7"/>
        </w:numPr>
      </w:pPr>
      <w:r>
        <w:t>「人口政策」を統括する司令塔機能の強化</w:t>
      </w:r>
    </w:p>
    <w:p w14:paraId="7DEBE906" w14:textId="14C3135A" w:rsidR="00A36FC2" w:rsidRPr="00A36FC2" w:rsidRDefault="00660E30" w:rsidP="00A36FC2">
      <w:pPr>
        <w:pStyle w:val="a9"/>
        <w:numPr>
          <w:ilvl w:val="0"/>
          <w:numId w:val="7"/>
        </w:numPr>
        <w:rPr>
          <w:rFonts w:hint="eastAsia"/>
        </w:rPr>
      </w:pPr>
      <w:r>
        <w:t>外国人政策担当大臣の新設</w:t>
      </w:r>
    </w:p>
    <w:p w14:paraId="5E579293" w14:textId="30C8B19E" w:rsidR="00A36FC2" w:rsidRPr="00A36FC2" w:rsidRDefault="00A36FC2" w:rsidP="00A36FC2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②　</w:t>
      </w:r>
      <w:r w:rsidR="00C137E1" w:rsidRPr="00A36FC2">
        <w:rPr>
          <w:b/>
          <w:bCs/>
        </w:rPr>
        <w:t>現場課題の解決</w:t>
      </w:r>
      <w:r w:rsidR="00C137E1">
        <w:rPr>
          <w:rFonts w:hint="eastAsia"/>
          <w:b/>
          <w:bCs/>
        </w:rPr>
        <w:t xml:space="preserve">　―</w:t>
      </w:r>
      <w:r w:rsidRPr="00A36FC2">
        <w:rPr>
          <w:b/>
          <w:bCs/>
        </w:rPr>
        <w:t>ミクロの問題対処</w:t>
      </w:r>
      <w:r w:rsidR="00C137E1">
        <w:rPr>
          <w:rFonts w:hint="eastAsia"/>
          <w:b/>
          <w:bCs/>
        </w:rPr>
        <w:t>―</w:t>
      </w:r>
    </w:p>
    <w:p w14:paraId="3D3B29F4" w14:textId="4755F174" w:rsidR="00660E30" w:rsidRDefault="00660E30" w:rsidP="00660E30">
      <w:r>
        <w:rPr>
          <w:rFonts w:hint="eastAsia"/>
        </w:rPr>
        <w:t>（１）</w:t>
      </w:r>
      <w:r>
        <w:t>違法行為への対応と制度基盤強化</w:t>
      </w:r>
    </w:p>
    <w:p w14:paraId="661266FA" w14:textId="13FD86B8" w:rsidR="00C137E1" w:rsidRDefault="00C137E1" w:rsidP="00660E30">
      <w:pPr>
        <w:pStyle w:val="a9"/>
        <w:numPr>
          <w:ilvl w:val="0"/>
          <w:numId w:val="7"/>
        </w:numPr>
      </w:pPr>
      <w:r w:rsidRPr="00C137E1">
        <w:rPr>
          <w:rFonts w:hint="eastAsia"/>
        </w:rPr>
        <w:t>出入国在留管理庁の人員体制強化と専門性向上</w:t>
      </w:r>
    </w:p>
    <w:p w14:paraId="46AA0504" w14:textId="08A58E14" w:rsidR="00660E30" w:rsidRDefault="00660E30" w:rsidP="00660E30">
      <w:pPr>
        <w:pStyle w:val="a9"/>
        <w:numPr>
          <w:ilvl w:val="0"/>
          <w:numId w:val="7"/>
        </w:numPr>
      </w:pPr>
      <w:r>
        <w:t>不法滞在者の強制送還体制の構築</w:t>
      </w:r>
    </w:p>
    <w:p w14:paraId="24A94AA9" w14:textId="52484CA3" w:rsidR="00660E30" w:rsidRDefault="00660E30" w:rsidP="00660E30">
      <w:pPr>
        <w:pStyle w:val="a9"/>
        <w:numPr>
          <w:ilvl w:val="0"/>
          <w:numId w:val="7"/>
        </w:numPr>
      </w:pPr>
      <w:r>
        <w:t>偽装滞在・「移民ビジネス」取締強化、登録支援機関の監督強化（許可制も視野）</w:t>
      </w:r>
    </w:p>
    <w:p w14:paraId="741D889C" w14:textId="3AB0EBF9" w:rsidR="00660E30" w:rsidRDefault="00660E30" w:rsidP="00660E30">
      <w:pPr>
        <w:pStyle w:val="a9"/>
        <w:numPr>
          <w:ilvl w:val="0"/>
          <w:numId w:val="7"/>
        </w:numPr>
      </w:pPr>
      <w:r>
        <w:t>外国人犯罪対策の強化（警察・入管連携、生体認証導入）</w:t>
      </w:r>
    </w:p>
    <w:p w14:paraId="4BAC6F41" w14:textId="205B575D" w:rsidR="00660E30" w:rsidRDefault="00660E30" w:rsidP="00660E30">
      <w:pPr>
        <w:pStyle w:val="a9"/>
        <w:numPr>
          <w:ilvl w:val="0"/>
          <w:numId w:val="7"/>
        </w:numPr>
      </w:pPr>
      <w:r>
        <w:t>国籍取得審査の厳格化、帰化取消制度の創設</w:t>
      </w:r>
    </w:p>
    <w:p w14:paraId="3134F432" w14:textId="716D4787" w:rsidR="00660E30" w:rsidRPr="00660E30" w:rsidRDefault="00660E30" w:rsidP="002245D7">
      <w:r>
        <w:rPr>
          <w:rFonts w:hint="eastAsia"/>
        </w:rPr>
        <w:t>など</w:t>
      </w:r>
    </w:p>
    <w:p w14:paraId="3B0AC440" w14:textId="121D1508" w:rsidR="00660E30" w:rsidRDefault="00660E30" w:rsidP="00660E30">
      <w:r>
        <w:rPr>
          <w:rFonts w:hint="eastAsia"/>
        </w:rPr>
        <w:t>（２）</w:t>
      </w:r>
      <w:r>
        <w:t>制度の誤用・濫用・悪用への対応</w:t>
      </w:r>
    </w:p>
    <w:p w14:paraId="5276B81F" w14:textId="77777777" w:rsidR="00660E30" w:rsidRDefault="00660E30" w:rsidP="00660E30">
      <w:pPr>
        <w:pStyle w:val="a9"/>
        <w:numPr>
          <w:ilvl w:val="0"/>
          <w:numId w:val="7"/>
        </w:numPr>
      </w:pPr>
      <w:r>
        <w:t>社会保険料未納・医療費未払いへの厳格対応。</w:t>
      </w:r>
    </w:p>
    <w:p w14:paraId="52A07321" w14:textId="5D4E90E6" w:rsidR="00660E30" w:rsidRDefault="00EC2438" w:rsidP="00660E30">
      <w:pPr>
        <w:pStyle w:val="a9"/>
        <w:numPr>
          <w:ilvl w:val="0"/>
          <w:numId w:val="7"/>
        </w:numPr>
      </w:pPr>
      <w:r w:rsidRPr="00EC2438">
        <w:rPr>
          <w:rFonts w:hint="eastAsia"/>
        </w:rPr>
        <w:t>医療費窓口負担未払い、生活保護制度適用及び高額療養費制度適用への厳格対応</w:t>
      </w:r>
    </w:p>
    <w:p w14:paraId="1B237D64" w14:textId="194C2B71" w:rsidR="00660E30" w:rsidRDefault="00660E30" w:rsidP="00660E30">
      <w:pPr>
        <w:pStyle w:val="a9"/>
        <w:numPr>
          <w:ilvl w:val="0"/>
          <w:numId w:val="7"/>
        </w:numPr>
      </w:pPr>
      <w:r>
        <w:t>給付金支給対象の厳格化（例：</w:t>
      </w:r>
      <w:r w:rsidR="00EC2438">
        <w:rPr>
          <w:rFonts w:hint="eastAsia"/>
        </w:rPr>
        <w:t>コロナ特別給付金、</w:t>
      </w:r>
      <w:r>
        <w:t>出産育児一時金）</w:t>
      </w:r>
    </w:p>
    <w:p w14:paraId="0ABC8FDA" w14:textId="7EE76500" w:rsidR="00EC2438" w:rsidRDefault="00EC2438" w:rsidP="00660E30">
      <w:pPr>
        <w:pStyle w:val="a9"/>
        <w:numPr>
          <w:ilvl w:val="0"/>
          <w:numId w:val="7"/>
        </w:numPr>
      </w:pPr>
      <w:r w:rsidRPr="00DB08F4">
        <w:rPr>
          <w:rFonts w:hint="eastAsia"/>
          <w:szCs w:val="21"/>
        </w:rPr>
        <w:t>外国人児童の教育機会確保と公教育制度の適正化</w:t>
      </w:r>
    </w:p>
    <w:p w14:paraId="3B8E14E8" w14:textId="45769973" w:rsidR="00660E30" w:rsidRDefault="00660E30" w:rsidP="00660E30">
      <w:r>
        <w:rPr>
          <w:rFonts w:hint="eastAsia"/>
        </w:rPr>
        <w:t>など</w:t>
      </w:r>
    </w:p>
    <w:p w14:paraId="6BEA5EDF" w14:textId="75B738DB" w:rsidR="00660E30" w:rsidRDefault="00660E30" w:rsidP="00660E30">
      <w:r>
        <w:rPr>
          <w:rFonts w:hint="eastAsia"/>
        </w:rPr>
        <w:t>（３）</w:t>
      </w:r>
      <w:r>
        <w:t>社会統合を重視した受入れ</w:t>
      </w:r>
    </w:p>
    <w:p w14:paraId="4DC9C08D" w14:textId="1A2EBC01" w:rsidR="00C137E1" w:rsidRPr="00C137E1" w:rsidRDefault="00C137E1" w:rsidP="00660E30">
      <w:pPr>
        <w:pStyle w:val="a9"/>
        <w:numPr>
          <w:ilvl w:val="0"/>
          <w:numId w:val="7"/>
        </w:numPr>
      </w:pPr>
      <w:r w:rsidRPr="00DB08F4">
        <w:rPr>
          <w:rFonts w:hint="eastAsia"/>
          <w:szCs w:val="21"/>
        </w:rPr>
        <w:t>外国</w:t>
      </w:r>
      <w:proofErr w:type="gramStart"/>
      <w:r w:rsidRPr="00DB08F4">
        <w:rPr>
          <w:rFonts w:hint="eastAsia"/>
          <w:szCs w:val="21"/>
        </w:rPr>
        <w:t>人集</w:t>
      </w:r>
      <w:proofErr w:type="gramEnd"/>
      <w:r w:rsidRPr="00DB08F4">
        <w:rPr>
          <w:rFonts w:hint="eastAsia"/>
          <w:szCs w:val="21"/>
        </w:rPr>
        <w:t>住地域の集中居住防止と地域コミュニティ支援</w:t>
      </w:r>
    </w:p>
    <w:p w14:paraId="3BFE191C" w14:textId="1E160BF5" w:rsidR="00C137E1" w:rsidRDefault="00C137E1" w:rsidP="00660E30">
      <w:pPr>
        <w:pStyle w:val="a9"/>
        <w:numPr>
          <w:ilvl w:val="0"/>
          <w:numId w:val="7"/>
        </w:numPr>
      </w:pPr>
      <w:r w:rsidRPr="00DB08F4">
        <w:rPr>
          <w:rFonts w:hint="eastAsia"/>
          <w:szCs w:val="21"/>
        </w:rPr>
        <w:t>外国人の日本語能力及び日本社会への理解の促進</w:t>
      </w:r>
    </w:p>
    <w:p w14:paraId="06778D18" w14:textId="7802F829" w:rsidR="00C137E1" w:rsidRDefault="00660E30" w:rsidP="00C137E1">
      <w:pPr>
        <w:pStyle w:val="a9"/>
        <w:numPr>
          <w:ilvl w:val="0"/>
          <w:numId w:val="7"/>
        </w:numPr>
        <w:rPr>
          <w:rFonts w:hint="eastAsia"/>
        </w:rPr>
      </w:pPr>
      <w:r>
        <w:t>外国人労働者受入企業の責任明確化と罰則強化</w:t>
      </w:r>
    </w:p>
    <w:p w14:paraId="1C7E462F" w14:textId="51D94E6B" w:rsidR="00A36FC2" w:rsidRDefault="00660E30" w:rsidP="00660E30">
      <w:pPr>
        <w:pStyle w:val="a9"/>
        <w:numPr>
          <w:ilvl w:val="0"/>
          <w:numId w:val="7"/>
        </w:numPr>
      </w:pPr>
      <w:r>
        <w:t>外国人観光客に係る財源確保（国際観光旅客</w:t>
      </w:r>
      <w:proofErr w:type="gramStart"/>
      <w:r>
        <w:t>税引</w:t>
      </w:r>
      <w:proofErr w:type="gramEnd"/>
      <w:r>
        <w:t>上げ、日本版ESTA手数料）。</w:t>
      </w:r>
    </w:p>
    <w:p w14:paraId="07507E58" w14:textId="19396D00" w:rsidR="00660E30" w:rsidRPr="00A36FC2" w:rsidRDefault="00660E30" w:rsidP="00660E30">
      <w:pPr>
        <w:rPr>
          <w:rFonts w:hint="eastAsia"/>
        </w:rPr>
      </w:pPr>
      <w:r>
        <w:rPr>
          <w:rFonts w:hint="eastAsia"/>
        </w:rPr>
        <w:t>など</w:t>
      </w:r>
    </w:p>
    <w:p w14:paraId="59871BDF" w14:textId="5BFAB957" w:rsidR="00A36FC2" w:rsidRPr="00DD5418" w:rsidRDefault="00A36FC2" w:rsidP="00A36FC2">
      <w:pPr>
        <w:rPr>
          <w:b/>
          <w:bCs/>
        </w:rPr>
      </w:pPr>
      <w:r>
        <w:rPr>
          <w:rFonts w:hint="eastAsia"/>
          <w:b/>
          <w:bCs/>
        </w:rPr>
        <w:t xml:space="preserve">③　</w:t>
      </w:r>
      <w:r w:rsidRPr="00A36FC2">
        <w:rPr>
          <w:b/>
          <w:bCs/>
        </w:rPr>
        <w:t>国家安全保障の</w:t>
      </w:r>
      <w:r w:rsidR="00DD5418">
        <w:rPr>
          <w:rFonts w:hint="eastAsia"/>
          <w:b/>
          <w:bCs/>
        </w:rPr>
        <w:t>強化</w:t>
      </w:r>
    </w:p>
    <w:p w14:paraId="6BAAD7EC" w14:textId="1E6A0D3A" w:rsidR="00A36FC2" w:rsidRDefault="00A36FC2" w:rsidP="00A36FC2">
      <w:pPr>
        <w:pStyle w:val="a9"/>
        <w:numPr>
          <w:ilvl w:val="0"/>
          <w:numId w:val="7"/>
        </w:numPr>
      </w:pPr>
      <w:r>
        <w:t>外国人・外国資本による</w:t>
      </w:r>
      <w:r w:rsidR="00C137E1" w:rsidRPr="00C137E1">
        <w:rPr>
          <w:rFonts w:hint="eastAsia"/>
        </w:rPr>
        <w:t>土地取得の厳格規制</w:t>
      </w:r>
    </w:p>
    <w:p w14:paraId="47758499" w14:textId="51F0078F" w:rsidR="00816DAD" w:rsidRPr="00930B2E" w:rsidRDefault="00C137E1" w:rsidP="00A36FC2">
      <w:pPr>
        <w:pStyle w:val="a9"/>
        <w:numPr>
          <w:ilvl w:val="0"/>
          <w:numId w:val="7"/>
        </w:numPr>
      </w:pPr>
      <w:r>
        <w:rPr>
          <w:rFonts w:hint="eastAsia"/>
        </w:rPr>
        <w:t>防諜</w:t>
      </w:r>
      <w:r w:rsidRPr="00DB08F4">
        <w:rPr>
          <w:rFonts w:hint="eastAsia"/>
        </w:rPr>
        <w:t>体制の抜本的強化</w:t>
      </w:r>
    </w:p>
    <w:sectPr w:rsidR="00816DAD" w:rsidRPr="00930B2E" w:rsidSect="00DD54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UD デジタル 教科書体 NK">
    <w:altName w:val="MS Mincho"/>
    <w:panose1 w:val="020B0604020202020204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DBA"/>
    <w:multiLevelType w:val="multilevel"/>
    <w:tmpl w:val="51D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310F8"/>
    <w:multiLevelType w:val="multilevel"/>
    <w:tmpl w:val="63CC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76C"/>
    <w:multiLevelType w:val="multilevel"/>
    <w:tmpl w:val="F2B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77495"/>
    <w:multiLevelType w:val="multilevel"/>
    <w:tmpl w:val="784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A6C8E"/>
    <w:multiLevelType w:val="hybridMultilevel"/>
    <w:tmpl w:val="7DD8377E"/>
    <w:lvl w:ilvl="0" w:tplc="BF36ED12">
      <w:numFmt w:val="bullet"/>
      <w:lvlText w:val="・"/>
      <w:lvlJc w:val="left"/>
      <w:pPr>
        <w:ind w:left="360" w:hanging="360"/>
      </w:pPr>
      <w:rPr>
        <w:rFonts w:ascii="UD デジタル 教科書体 NK" w:eastAsia="UD デジタル 教科書体 NK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204D5F"/>
    <w:multiLevelType w:val="multilevel"/>
    <w:tmpl w:val="DEB6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F09CD"/>
    <w:multiLevelType w:val="hybridMultilevel"/>
    <w:tmpl w:val="6CC08D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1376589">
    <w:abstractNumId w:val="5"/>
  </w:num>
  <w:num w:numId="2" w16cid:durableId="833296235">
    <w:abstractNumId w:val="0"/>
  </w:num>
  <w:num w:numId="3" w16cid:durableId="172965024">
    <w:abstractNumId w:val="3"/>
  </w:num>
  <w:num w:numId="4" w16cid:durableId="2029092369">
    <w:abstractNumId w:val="1"/>
  </w:num>
  <w:num w:numId="5" w16cid:durableId="564537498">
    <w:abstractNumId w:val="2"/>
  </w:num>
  <w:num w:numId="6" w16cid:durableId="845048518">
    <w:abstractNumId w:val="6"/>
  </w:num>
  <w:num w:numId="7" w16cid:durableId="369963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2E"/>
    <w:rsid w:val="0014484C"/>
    <w:rsid w:val="001506CC"/>
    <w:rsid w:val="002245D7"/>
    <w:rsid w:val="002A5F3A"/>
    <w:rsid w:val="002D136B"/>
    <w:rsid w:val="002D1804"/>
    <w:rsid w:val="005068CC"/>
    <w:rsid w:val="005F04B9"/>
    <w:rsid w:val="00660E30"/>
    <w:rsid w:val="00816DAD"/>
    <w:rsid w:val="00930B2E"/>
    <w:rsid w:val="00A36FC2"/>
    <w:rsid w:val="00C1184E"/>
    <w:rsid w:val="00C137E1"/>
    <w:rsid w:val="00C631C9"/>
    <w:rsid w:val="00D4294E"/>
    <w:rsid w:val="00DD5418"/>
    <w:rsid w:val="00E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C0C44"/>
  <w15:chartTrackingRefBased/>
  <w15:docId w15:val="{1903A9D0-5B8A-4DA3-BECD-65B4F4FD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" w:eastAsia="UD デジタル 教科書体 NK" w:hAnsi="Meiryo U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B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B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B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B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B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B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B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B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B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B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B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B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B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B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B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30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達人 下山</dc:creator>
  <cp:keywords/>
  <dc:description/>
  <cp:lastModifiedBy>文武 藤田</cp:lastModifiedBy>
  <cp:revision>6</cp:revision>
  <dcterms:created xsi:type="dcterms:W3CDTF">2025-09-16T06:09:00Z</dcterms:created>
  <dcterms:modified xsi:type="dcterms:W3CDTF">2025-09-17T01:46:00Z</dcterms:modified>
</cp:coreProperties>
</file>